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65" w:rsidRPr="008D5B35" w:rsidRDefault="003C0842">
      <w:pPr>
        <w:jc w:val="left"/>
        <w:rPr>
          <w:rFonts w:ascii="黑体" w:eastAsia="黑体" w:hAnsi="黑体"/>
          <w:bCs/>
          <w:sz w:val="32"/>
          <w:szCs w:val="32"/>
        </w:rPr>
      </w:pPr>
      <w:r w:rsidRPr="008D5B35">
        <w:rPr>
          <w:rFonts w:ascii="黑体" w:eastAsia="黑体" w:hAnsi="黑体" w:cs="宋体" w:hint="eastAsia"/>
          <w:bCs/>
          <w:sz w:val="32"/>
          <w:szCs w:val="32"/>
        </w:rPr>
        <w:t>附件2</w:t>
      </w:r>
    </w:p>
    <w:p w:rsidR="00F23165" w:rsidRDefault="003C0842">
      <w:pPr>
        <w:jc w:val="center"/>
        <w:rPr>
          <w:rFonts w:ascii="宋体" w:eastAsia="方正小标宋简体" w:hAnsi="宋体"/>
          <w:sz w:val="36"/>
          <w:szCs w:val="36"/>
        </w:rPr>
      </w:pPr>
      <w:r>
        <w:rPr>
          <w:rFonts w:ascii="宋体" w:eastAsia="方正小标宋简体" w:hAnsi="宋体" w:hint="eastAsia"/>
          <w:sz w:val="36"/>
          <w:szCs w:val="36"/>
        </w:rPr>
        <w:t>《矿业权价值评估（</w:t>
      </w:r>
      <w:r>
        <w:rPr>
          <w:rFonts w:ascii="宋体" w:eastAsia="方正小标宋简体" w:hAnsi="宋体" w:hint="eastAsia"/>
          <w:sz w:val="36"/>
          <w:szCs w:val="36"/>
        </w:rPr>
        <w:t>2023</w:t>
      </w:r>
      <w:r>
        <w:rPr>
          <w:rFonts w:ascii="宋体" w:eastAsia="方正小标宋简体" w:hAnsi="宋体" w:hint="eastAsia"/>
          <w:sz w:val="36"/>
          <w:szCs w:val="36"/>
        </w:rPr>
        <w:t>）》辅导教材调整修订内容</w:t>
      </w:r>
    </w:p>
    <w:tbl>
      <w:tblPr>
        <w:tblStyle w:val="a5"/>
        <w:tblW w:w="14454" w:type="dxa"/>
        <w:jc w:val="center"/>
        <w:tblLook w:val="04A0" w:firstRow="1" w:lastRow="0" w:firstColumn="1" w:lastColumn="0" w:noHBand="0" w:noVBand="1"/>
      </w:tblPr>
      <w:tblGrid>
        <w:gridCol w:w="704"/>
        <w:gridCol w:w="851"/>
        <w:gridCol w:w="708"/>
        <w:gridCol w:w="1418"/>
        <w:gridCol w:w="5138"/>
        <w:gridCol w:w="5635"/>
      </w:tblGrid>
      <w:tr w:rsidR="00F23165">
        <w:trPr>
          <w:trHeight w:val="499"/>
          <w:jc w:val="center"/>
        </w:trPr>
        <w:tc>
          <w:tcPr>
            <w:tcW w:w="704"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序号</w:t>
            </w:r>
          </w:p>
        </w:tc>
        <w:tc>
          <w:tcPr>
            <w:tcW w:w="851"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章</w:t>
            </w:r>
          </w:p>
        </w:tc>
        <w:tc>
          <w:tcPr>
            <w:tcW w:w="708"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页码</w:t>
            </w:r>
          </w:p>
        </w:tc>
        <w:tc>
          <w:tcPr>
            <w:tcW w:w="1418"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行数</w:t>
            </w:r>
          </w:p>
        </w:tc>
        <w:tc>
          <w:tcPr>
            <w:tcW w:w="5138"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调整前</w:t>
            </w:r>
          </w:p>
        </w:tc>
        <w:tc>
          <w:tcPr>
            <w:tcW w:w="5635" w:type="dxa"/>
            <w:vAlign w:val="center"/>
          </w:tcPr>
          <w:p w:rsidR="00F23165" w:rsidRDefault="003C0842">
            <w:pPr>
              <w:spacing w:line="280" w:lineRule="exact"/>
              <w:jc w:val="center"/>
              <w:rPr>
                <w:rFonts w:ascii="宋体" w:eastAsia="黑体" w:hAnsi="宋体"/>
                <w:sz w:val="24"/>
                <w:szCs w:val="24"/>
              </w:rPr>
            </w:pPr>
            <w:r>
              <w:rPr>
                <w:rFonts w:ascii="宋体" w:eastAsia="黑体" w:hAnsi="宋体" w:hint="eastAsia"/>
                <w:sz w:val="24"/>
                <w:szCs w:val="24"/>
              </w:rPr>
              <w:t>调整后</w:t>
            </w:r>
          </w:p>
        </w:tc>
      </w:tr>
      <w:tr w:rsidR="00F23165">
        <w:trPr>
          <w:trHeight w:val="681"/>
          <w:jc w:val="center"/>
        </w:trPr>
        <w:tc>
          <w:tcPr>
            <w:tcW w:w="704"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1</w:t>
            </w:r>
          </w:p>
        </w:tc>
        <w:tc>
          <w:tcPr>
            <w:tcW w:w="851"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第六章</w:t>
            </w:r>
          </w:p>
        </w:tc>
        <w:tc>
          <w:tcPr>
            <w:tcW w:w="708"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129</w:t>
            </w:r>
          </w:p>
        </w:tc>
        <w:tc>
          <w:tcPr>
            <w:tcW w:w="1418"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第28-30行</w:t>
            </w:r>
          </w:p>
        </w:tc>
        <w:tc>
          <w:tcPr>
            <w:tcW w:w="5138"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符合现行有效的…及有关评估应用指南（如《矿业权出让收益评估应用指南（试行）》的要求）。</w:t>
            </w:r>
          </w:p>
        </w:tc>
        <w:tc>
          <w:tcPr>
            <w:tcW w:w="5635"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符合现行有效的…及有关评估应用指南（如《矿业权出让收益评估应用指南（2023）》的要求。</w:t>
            </w:r>
          </w:p>
        </w:tc>
      </w:tr>
      <w:tr w:rsidR="00F23165">
        <w:trPr>
          <w:jc w:val="center"/>
        </w:trPr>
        <w:tc>
          <w:tcPr>
            <w:tcW w:w="704"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2</w:t>
            </w:r>
          </w:p>
        </w:tc>
        <w:tc>
          <w:tcPr>
            <w:tcW w:w="851"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第六章</w:t>
            </w:r>
          </w:p>
        </w:tc>
        <w:tc>
          <w:tcPr>
            <w:tcW w:w="708"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130</w:t>
            </w:r>
          </w:p>
        </w:tc>
        <w:tc>
          <w:tcPr>
            <w:tcW w:w="1418" w:type="dxa"/>
            <w:vAlign w:val="center"/>
          </w:tcPr>
          <w:p w:rsidR="00F23165" w:rsidRDefault="003C0842">
            <w:pPr>
              <w:widowControl/>
              <w:shd w:val="clear" w:color="auto" w:fill="FFFFFF"/>
              <w:spacing w:line="280" w:lineRule="exact"/>
              <w:jc w:val="center"/>
              <w:rPr>
                <w:rFonts w:ascii="宋体" w:eastAsia="宋体" w:hAnsi="宋体"/>
                <w:sz w:val="18"/>
                <w:szCs w:val="18"/>
              </w:rPr>
            </w:pPr>
            <w:r>
              <w:rPr>
                <w:rFonts w:ascii="宋体" w:eastAsia="宋体" w:hAnsi="宋体" w:hint="eastAsia"/>
                <w:sz w:val="18"/>
                <w:szCs w:val="18"/>
              </w:rPr>
              <w:t>第15-17行</w:t>
            </w:r>
          </w:p>
        </w:tc>
        <w:tc>
          <w:tcPr>
            <w:tcW w:w="5138"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根据《矿业权出让收益评估应用指南（试行）》，空白区的探矿权评估方法可</w:t>
            </w:r>
            <w:r w:rsidR="007835C9">
              <w:rPr>
                <w:rFonts w:ascii="宋体" w:eastAsia="宋体" w:hAnsi="宋体" w:hint="eastAsia"/>
                <w:sz w:val="18"/>
                <w:szCs w:val="18"/>
              </w:rPr>
              <w:t>以采用基准</w:t>
            </w:r>
            <w:proofErr w:type="gramStart"/>
            <w:r w:rsidR="007835C9">
              <w:rPr>
                <w:rFonts w:ascii="宋体" w:eastAsia="宋体" w:hAnsi="宋体" w:hint="eastAsia"/>
                <w:sz w:val="18"/>
                <w:szCs w:val="18"/>
              </w:rPr>
              <w:t>价因素</w:t>
            </w:r>
            <w:proofErr w:type="gramEnd"/>
            <w:r w:rsidR="007835C9">
              <w:rPr>
                <w:rFonts w:ascii="宋体" w:eastAsia="宋体" w:hAnsi="宋体" w:hint="eastAsia"/>
                <w:sz w:val="18"/>
                <w:szCs w:val="18"/>
              </w:rPr>
              <w:t>调整法、交易案例比较法、单位面积倍数法三种方法</w:t>
            </w:r>
            <w:r>
              <w:rPr>
                <w:rFonts w:ascii="宋体" w:eastAsia="宋体" w:hAnsi="宋体" w:hint="eastAsia"/>
                <w:sz w:val="18"/>
                <w:szCs w:val="18"/>
              </w:rPr>
              <w:t>。由于基准</w:t>
            </w:r>
            <w:proofErr w:type="gramStart"/>
            <w:r>
              <w:rPr>
                <w:rFonts w:ascii="宋体" w:eastAsia="宋体" w:hAnsi="宋体" w:hint="eastAsia"/>
                <w:sz w:val="18"/>
                <w:szCs w:val="18"/>
              </w:rPr>
              <w:t>价具体</w:t>
            </w:r>
            <w:proofErr w:type="gramEnd"/>
            <w:r>
              <w:rPr>
                <w:rFonts w:ascii="宋体" w:eastAsia="宋体" w:hAnsi="宋体" w:hint="eastAsia"/>
                <w:sz w:val="18"/>
                <w:szCs w:val="18"/>
              </w:rPr>
              <w:t>调整因素无法获取、有效的交易案例无法获得，本次评估采用单位面积倍数法。</w:t>
            </w:r>
          </w:p>
        </w:tc>
        <w:tc>
          <w:tcPr>
            <w:tcW w:w="5635"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根据《矿业权出让收益评估应用指南（2023）》，空白区的探矿权评估方法可以采用单位面积探矿</w:t>
            </w:r>
            <w:proofErr w:type="gramStart"/>
            <w:r>
              <w:rPr>
                <w:rFonts w:ascii="宋体" w:eastAsia="宋体" w:hAnsi="宋体" w:hint="eastAsia"/>
                <w:sz w:val="18"/>
                <w:szCs w:val="18"/>
              </w:rPr>
              <w:t>权价值</w:t>
            </w:r>
            <w:proofErr w:type="gramEnd"/>
            <w:r>
              <w:rPr>
                <w:rFonts w:ascii="宋体" w:eastAsia="宋体" w:hAnsi="宋体" w:hint="eastAsia"/>
                <w:sz w:val="18"/>
                <w:szCs w:val="18"/>
              </w:rPr>
              <w:t>评判法、可比销售法两种方法</w:t>
            </w:r>
            <w:proofErr w:type="gramStart"/>
            <w:r>
              <w:rPr>
                <w:rFonts w:ascii="宋体" w:eastAsia="宋体" w:hAnsi="宋体" w:hint="eastAsia"/>
                <w:sz w:val="18"/>
                <w:szCs w:val="18"/>
              </w:rPr>
              <w:t>”</w:t>
            </w:r>
            <w:proofErr w:type="gramEnd"/>
            <w:r>
              <w:rPr>
                <w:rFonts w:ascii="宋体" w:eastAsia="宋体" w:hAnsi="宋体" w:hint="eastAsia"/>
                <w:sz w:val="18"/>
                <w:szCs w:val="18"/>
              </w:rPr>
              <w:t>。由</w:t>
            </w:r>
            <w:r w:rsidR="007835C9">
              <w:rPr>
                <w:rFonts w:ascii="宋体" w:eastAsia="宋体" w:hAnsi="宋体" w:hint="eastAsia"/>
                <w:sz w:val="18"/>
                <w:szCs w:val="18"/>
              </w:rPr>
              <w:t>于有效的交易案例无法获得，本次评估采用单位面积探矿</w:t>
            </w:r>
            <w:proofErr w:type="gramStart"/>
            <w:r w:rsidR="007835C9">
              <w:rPr>
                <w:rFonts w:ascii="宋体" w:eastAsia="宋体" w:hAnsi="宋体" w:hint="eastAsia"/>
                <w:sz w:val="18"/>
                <w:szCs w:val="18"/>
              </w:rPr>
              <w:t>权价值</w:t>
            </w:r>
            <w:proofErr w:type="gramEnd"/>
            <w:r w:rsidR="007835C9">
              <w:rPr>
                <w:rFonts w:ascii="宋体" w:eastAsia="宋体" w:hAnsi="宋体" w:hint="eastAsia"/>
                <w:sz w:val="18"/>
                <w:szCs w:val="18"/>
              </w:rPr>
              <w:t>评判法</w:t>
            </w:r>
            <w:r>
              <w:rPr>
                <w:rFonts w:ascii="宋体" w:eastAsia="宋体" w:hAnsi="宋体" w:hint="eastAsia"/>
                <w:sz w:val="18"/>
                <w:szCs w:val="18"/>
              </w:rPr>
              <w:t>。</w:t>
            </w:r>
          </w:p>
        </w:tc>
      </w:tr>
      <w:tr w:rsidR="00F23165">
        <w:trPr>
          <w:trHeight w:val="684"/>
          <w:jc w:val="center"/>
        </w:trPr>
        <w:tc>
          <w:tcPr>
            <w:tcW w:w="704"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3</w:t>
            </w:r>
          </w:p>
        </w:tc>
        <w:tc>
          <w:tcPr>
            <w:tcW w:w="851" w:type="dxa"/>
            <w:vAlign w:val="center"/>
          </w:tcPr>
          <w:p w:rsidR="00F23165" w:rsidRDefault="003C0842">
            <w:pPr>
              <w:spacing w:line="280" w:lineRule="exact"/>
              <w:jc w:val="center"/>
              <w:rPr>
                <w:rFonts w:ascii="宋体" w:eastAsia="宋体" w:hAnsi="宋体"/>
                <w:sz w:val="18"/>
                <w:szCs w:val="18"/>
              </w:rPr>
            </w:pPr>
            <w:r>
              <w:rPr>
                <w:rFonts w:ascii="宋体" w:eastAsia="宋体" w:hAnsi="宋体" w:hint="eastAsia"/>
                <w:sz w:val="18"/>
                <w:szCs w:val="18"/>
              </w:rPr>
              <w:t>第八章</w:t>
            </w:r>
          </w:p>
        </w:tc>
        <w:tc>
          <w:tcPr>
            <w:tcW w:w="708" w:type="dxa"/>
            <w:vAlign w:val="center"/>
          </w:tcPr>
          <w:p w:rsidR="00F23165" w:rsidRDefault="003C0842">
            <w:pPr>
              <w:widowControl/>
              <w:shd w:val="clear" w:color="auto" w:fill="FFFFFF"/>
              <w:spacing w:line="280" w:lineRule="exact"/>
              <w:jc w:val="center"/>
              <w:rPr>
                <w:rFonts w:ascii="宋体" w:eastAsia="宋体" w:hAnsi="宋体"/>
                <w:sz w:val="18"/>
                <w:szCs w:val="18"/>
              </w:rPr>
            </w:pPr>
            <w:r>
              <w:rPr>
                <w:rFonts w:ascii="宋体" w:eastAsia="宋体" w:hAnsi="宋体" w:hint="eastAsia"/>
                <w:sz w:val="18"/>
                <w:szCs w:val="18"/>
              </w:rPr>
              <w:t>155</w:t>
            </w:r>
          </w:p>
        </w:tc>
        <w:tc>
          <w:tcPr>
            <w:tcW w:w="1418" w:type="dxa"/>
            <w:vAlign w:val="center"/>
          </w:tcPr>
          <w:p w:rsidR="00F23165" w:rsidRDefault="003C0842">
            <w:pPr>
              <w:widowControl/>
              <w:shd w:val="clear" w:color="auto" w:fill="FFFFFF"/>
              <w:spacing w:line="280" w:lineRule="exact"/>
              <w:jc w:val="center"/>
              <w:rPr>
                <w:rFonts w:ascii="宋体" w:eastAsia="宋体" w:hAnsi="宋体"/>
                <w:sz w:val="18"/>
                <w:szCs w:val="18"/>
              </w:rPr>
            </w:pPr>
            <w:r>
              <w:rPr>
                <w:rFonts w:ascii="宋体" w:eastAsia="宋体" w:hAnsi="宋体" w:hint="eastAsia"/>
                <w:sz w:val="18"/>
                <w:szCs w:val="18"/>
              </w:rPr>
              <w:t>第17-35行</w:t>
            </w:r>
          </w:p>
        </w:tc>
        <w:tc>
          <w:tcPr>
            <w:tcW w:w="5138"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w:t>
            </w:r>
            <w:proofErr w:type="gramStart"/>
            <w:r>
              <w:rPr>
                <w:rFonts w:ascii="宋体" w:eastAsia="宋体" w:hAnsi="宋体" w:hint="eastAsia"/>
                <w:sz w:val="18"/>
                <w:szCs w:val="18"/>
              </w:rPr>
              <w:t>一</w:t>
            </w:r>
            <w:proofErr w:type="gramEnd"/>
            <w:r>
              <w:rPr>
                <w:rFonts w:ascii="宋体" w:eastAsia="宋体" w:hAnsi="宋体" w:hint="eastAsia"/>
                <w:sz w:val="18"/>
                <w:szCs w:val="18"/>
              </w:rPr>
              <w:t>)矿业权出让收益市场基准价概述</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目前，矿业权出让收益管理的相关文件中并没有明确给出矿业权出让收益市场基准价 的定义。业内对矿业权出让收益市场基准价的一致看法是：</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(1)矿业权出让收益市场基准价是为维护矿产资源所有者权益、国有自然资源资产 不受损失而制定的矿业权出让的保底价。矿业权出让过程中，确定的矿业权出让收益 (或矿业权出让底价起始价)不得低于矿业权出让收益市场基准价。</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(2)矿业权出让收益市场基准价由地方自然资源行政主管部门定期制定，经省级人民 政府同意后公布执行，结果报自然资源部备案。矿业权出让收益市场基准价应结合</w:t>
            </w:r>
            <w:proofErr w:type="gramStart"/>
            <w:r>
              <w:rPr>
                <w:rFonts w:ascii="宋体" w:eastAsia="宋体" w:hAnsi="宋体" w:hint="eastAsia"/>
                <w:sz w:val="18"/>
                <w:szCs w:val="18"/>
              </w:rPr>
              <w:t>矿业市</w:t>
            </w:r>
            <w:proofErr w:type="gramEnd"/>
            <w:r>
              <w:rPr>
                <w:rFonts w:ascii="宋体" w:eastAsia="宋体" w:hAnsi="宋体" w:hint="eastAsia"/>
                <w:sz w:val="18"/>
                <w:szCs w:val="18"/>
              </w:rPr>
              <w:t xml:space="preserve"> 场发展形势适时调整，原则上每三年更新一次。</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(3)矿业权出让收益市场基准价的确定，应根据本地区矿业权出让实际选择矿种 以矿业权出让成交价格等有关统计数据为基础，以现行技术经济水平下的预期收益为指定 或调整依据，以其他矿业权市场交易资料为参考补充，按照矿业权出让</w:t>
            </w:r>
            <w:r>
              <w:rPr>
                <w:rFonts w:ascii="宋体" w:eastAsia="宋体" w:hAnsi="宋体" w:hint="eastAsia"/>
                <w:sz w:val="18"/>
                <w:szCs w:val="18"/>
              </w:rPr>
              <w:lastRenderedPageBreak/>
              <w:t>收益评估指南需 求，选择恰当的评估方式进行模拟评估，考虑地质勘查工作程度、区域成矿地质</w:t>
            </w:r>
            <w:proofErr w:type="gramStart"/>
            <w:r>
              <w:rPr>
                <w:rFonts w:ascii="宋体" w:eastAsia="宋体" w:hAnsi="宋体" w:hint="eastAsia"/>
                <w:sz w:val="18"/>
                <w:szCs w:val="18"/>
              </w:rPr>
              <w:t>条件及资</w:t>
            </w:r>
            <w:proofErr w:type="gramEnd"/>
            <w:r>
              <w:rPr>
                <w:rFonts w:ascii="宋体" w:eastAsia="宋体" w:hAnsi="宋体" w:hint="eastAsia"/>
                <w:sz w:val="18"/>
                <w:szCs w:val="18"/>
              </w:rPr>
              <w:t xml:space="preserve"> 源品级、矿产品价格、开采技术条件、交通运输条件、地区差异等影响因素，科学设计调 整系数，综合形成。</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 xml:space="preserve"> (4)各省(自治区、直辖市)发布的矿业权出让收益市场基准</w:t>
            </w:r>
            <w:proofErr w:type="gramStart"/>
            <w:r>
              <w:rPr>
                <w:rFonts w:ascii="宋体" w:eastAsia="宋体" w:hAnsi="宋体" w:hint="eastAsia"/>
                <w:sz w:val="18"/>
                <w:szCs w:val="18"/>
              </w:rPr>
              <w:t>价文件</w:t>
            </w:r>
            <w:proofErr w:type="gramEnd"/>
            <w:r>
              <w:rPr>
                <w:rFonts w:ascii="宋体" w:eastAsia="宋体" w:hAnsi="宋体" w:hint="eastAsia"/>
                <w:sz w:val="18"/>
                <w:szCs w:val="18"/>
              </w:rPr>
              <w:t>中通常包括各 矿种采矿权出让收益市场基准价标准，探矿权(包括各勘查阶段)、共(伴)生矿产品、 开采方式、地区等调整系数，更新期限、矿产品销售价格浮动幅度，矿业权出让收益市场 基准价的核算公式等内容。</w:t>
            </w:r>
          </w:p>
        </w:tc>
        <w:tc>
          <w:tcPr>
            <w:tcW w:w="5635" w:type="dxa"/>
            <w:vAlign w:val="center"/>
          </w:tcPr>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lastRenderedPageBreak/>
              <w:t xml:space="preserve"> (</w:t>
            </w:r>
            <w:proofErr w:type="gramStart"/>
            <w:r>
              <w:rPr>
                <w:rFonts w:ascii="宋体" w:eastAsia="宋体" w:hAnsi="宋体" w:hint="eastAsia"/>
                <w:sz w:val="18"/>
                <w:szCs w:val="18"/>
              </w:rPr>
              <w:t>一</w:t>
            </w:r>
            <w:proofErr w:type="gramEnd"/>
            <w:r>
              <w:rPr>
                <w:rFonts w:ascii="宋体" w:eastAsia="宋体" w:hAnsi="宋体" w:hint="eastAsia"/>
                <w:sz w:val="18"/>
                <w:szCs w:val="18"/>
              </w:rPr>
              <w:t>)矿业权出让收益市场基准价概述</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根据自然资源部办公厅2023年9月26日印发《矿业权出让收益市场基准价制定指南》（自然资办函〔2023〕1905号），主要内容如下：</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（1）矿业权出让收益市场基准价制定目的是为维护矿产资源国家所有者权益，保护矿业权人合法权益，规范矿业权出让收益市场基准价制定、修订工作。</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2）矿业权出让收益市场基准价的定义：是指基于市场条件下，按照地质勘查工作程度、区域成矿地质条件、资源储量、矿石品级、矿产品价格、开发难易程度、地区差异等影响因素，确定的某一区域一定时期内的矿业权出让收益基础价格标准。</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（3）矿业权出让收益市场基准价，原则上以单位储量价格的形式发布，不能评价为储量的以单位面积价格的形式发布，并可根据实际需要设置调整系数。</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（4）制定技术路线：以现行技术经济水平下的预期收益为基础，结合矿业权市场、以往矿业权出让、有关矿业权出让收益市场基准价等</w:t>
            </w:r>
            <w:r>
              <w:rPr>
                <w:rFonts w:ascii="宋体" w:eastAsia="宋体" w:hAnsi="宋体" w:hint="eastAsia"/>
                <w:sz w:val="18"/>
                <w:szCs w:val="18"/>
              </w:rPr>
              <w:lastRenderedPageBreak/>
              <w:t>信息，收集分析整理资料，选择恰当的评估方法，分类确定区域内矿业权出让收益市场基准价。</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5）评估方法的选择：开展评估时，应按照矿业权出让收益评估应用指南以及矿业权评估准则的要求，选择恰当的评估方法。以现行技术经济水平下的预期收益为基础确定基准价时，应按照矿业权评估准则的要求，选择恰当的收益途径评估方法。</w:t>
            </w:r>
          </w:p>
          <w:p w:rsidR="00F23165" w:rsidRDefault="003C0842">
            <w:pPr>
              <w:widowControl/>
              <w:shd w:val="clear" w:color="auto" w:fill="FFFFFF"/>
              <w:spacing w:line="280" w:lineRule="exact"/>
              <w:jc w:val="left"/>
              <w:rPr>
                <w:rFonts w:ascii="宋体" w:eastAsia="宋体" w:hAnsi="宋体"/>
                <w:sz w:val="18"/>
                <w:szCs w:val="18"/>
              </w:rPr>
            </w:pPr>
            <w:r>
              <w:rPr>
                <w:rFonts w:ascii="宋体" w:eastAsia="宋体" w:hAnsi="宋体" w:hint="eastAsia"/>
                <w:sz w:val="18"/>
                <w:szCs w:val="18"/>
              </w:rPr>
              <w:t>（6</w:t>
            </w:r>
            <w:bookmarkStart w:id="0" w:name="_GoBack"/>
            <w:bookmarkEnd w:id="0"/>
            <w:r>
              <w:rPr>
                <w:rFonts w:ascii="宋体" w:eastAsia="宋体" w:hAnsi="宋体" w:hint="eastAsia"/>
                <w:sz w:val="18"/>
                <w:szCs w:val="18"/>
              </w:rPr>
              <w:t>）调整与更新：矿业权出让收益市场基准价应结合矿业市场发展形势适时调整，原则上每三年更新一次。</w:t>
            </w:r>
          </w:p>
          <w:p w:rsidR="00F23165" w:rsidRDefault="00F23165">
            <w:pPr>
              <w:widowControl/>
              <w:shd w:val="clear" w:color="auto" w:fill="FFFFFF"/>
              <w:spacing w:line="280" w:lineRule="exact"/>
              <w:jc w:val="left"/>
              <w:rPr>
                <w:rFonts w:ascii="宋体" w:eastAsia="宋体" w:hAnsi="宋体"/>
                <w:sz w:val="18"/>
                <w:szCs w:val="18"/>
              </w:rPr>
            </w:pPr>
          </w:p>
        </w:tc>
      </w:tr>
    </w:tbl>
    <w:p w:rsidR="00F23165" w:rsidRDefault="00F23165">
      <w:pPr>
        <w:rPr>
          <w:rFonts w:ascii="宋体" w:hAnsi="宋体"/>
        </w:rPr>
      </w:pPr>
    </w:p>
    <w:sectPr w:rsidR="00F23165">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68" w:rsidRDefault="00CC1268">
      <w:r>
        <w:separator/>
      </w:r>
    </w:p>
  </w:endnote>
  <w:endnote w:type="continuationSeparator" w:id="0">
    <w:p w:rsidR="00CC1268" w:rsidRDefault="00CC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165" w:rsidRDefault="003C084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3165" w:rsidRDefault="003C0842">
                          <w:pPr>
                            <w:pStyle w:val="a3"/>
                          </w:pPr>
                          <w:r>
                            <w:fldChar w:fldCharType="begin"/>
                          </w:r>
                          <w:r>
                            <w:instrText xml:space="preserve"> PAGE  \* MERGEFORMAT </w:instrText>
                          </w:r>
                          <w:r>
                            <w:fldChar w:fldCharType="separate"/>
                          </w:r>
                          <w:r w:rsidR="007835C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23165" w:rsidRDefault="003C0842">
                    <w:pPr>
                      <w:pStyle w:val="a3"/>
                    </w:pPr>
                    <w:r>
                      <w:fldChar w:fldCharType="begin"/>
                    </w:r>
                    <w:r>
                      <w:instrText xml:space="preserve"> PAGE  \* MERGEFORMAT </w:instrText>
                    </w:r>
                    <w:r>
                      <w:fldChar w:fldCharType="separate"/>
                    </w:r>
                    <w:r w:rsidR="007835C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68" w:rsidRDefault="00CC1268">
      <w:r>
        <w:separator/>
      </w:r>
    </w:p>
  </w:footnote>
  <w:footnote w:type="continuationSeparator" w:id="0">
    <w:p w:rsidR="00CC1268" w:rsidRDefault="00CC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ZjY5MTFhMTNiZGJiOTQ2NzBmYTRhNTFlNGNlOWUifQ=="/>
  </w:docVars>
  <w:rsids>
    <w:rsidRoot w:val="5D6B35B4"/>
    <w:rsid w:val="00033B72"/>
    <w:rsid w:val="00074076"/>
    <w:rsid w:val="003C0842"/>
    <w:rsid w:val="007835C9"/>
    <w:rsid w:val="008D5B35"/>
    <w:rsid w:val="00CC1268"/>
    <w:rsid w:val="00F23165"/>
    <w:rsid w:val="5D6B35B4"/>
    <w:rsid w:val="7CAC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85CD0"/>
  <w15:docId w15:val="{F43E014A-1FB1-41B7-A08D-EA1285F3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Deacon</dc:creator>
  <cp:lastModifiedBy>w c</cp:lastModifiedBy>
  <cp:revision>6</cp:revision>
  <cp:lastPrinted>2024-08-19T07:25:00Z</cp:lastPrinted>
  <dcterms:created xsi:type="dcterms:W3CDTF">2024-08-20T02:19:00Z</dcterms:created>
  <dcterms:modified xsi:type="dcterms:W3CDTF">2024-08-22T06:56:00Z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C7037FE0CB474E148120834670710A8A_11</vt:lpwstr>
  </property>
</Properties>
</file>